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7" w:rsidRPr="00A32E21" w:rsidRDefault="00033C27">
      <w:pPr>
        <w:rPr>
          <w:u w:val="single"/>
        </w:rPr>
      </w:pPr>
      <w:r w:rsidRPr="00A32E21">
        <w:rPr>
          <w:u w:val="single"/>
        </w:rPr>
        <w:t xml:space="preserve">Transition References </w:t>
      </w:r>
    </w:p>
    <w:p w:rsidR="00033C27" w:rsidRPr="00A32E21" w:rsidRDefault="00033C27"/>
    <w:p w:rsidR="008F730F" w:rsidRPr="00A32E21" w:rsidRDefault="00682F94" w:rsidP="004F1A88">
      <w:pPr>
        <w:ind w:left="720" w:hanging="720"/>
      </w:pPr>
      <w:r w:rsidRPr="00A32E21">
        <w:t>American Academy of Pediatrics, American Academy of Family Physicians, and American College of Physicians-American Society of Internal Medicine</w:t>
      </w:r>
      <w:r w:rsidR="00150589" w:rsidRPr="00A32E21">
        <w:t xml:space="preserve">: </w:t>
      </w:r>
      <w:r w:rsidR="00150589" w:rsidRPr="00A32E21">
        <w:rPr>
          <w:i/>
          <w:iCs/>
        </w:rPr>
        <w:t>A Consensus Statement on Health Care Transitions for Young Adult</w:t>
      </w:r>
      <w:r w:rsidRPr="00A32E21">
        <w:rPr>
          <w:i/>
          <w:iCs/>
        </w:rPr>
        <w:t xml:space="preserve">s with Special Health Care Need. </w:t>
      </w:r>
      <w:r w:rsidR="00150589" w:rsidRPr="00A32E21">
        <w:rPr>
          <w:u w:val="single"/>
        </w:rPr>
        <w:t>Pediatrics</w:t>
      </w:r>
      <w:r w:rsidR="00150589" w:rsidRPr="00A32E21">
        <w:t>, 2002</w:t>
      </w:r>
      <w:r w:rsidRPr="00A32E21">
        <w:t>: 110: 1304-1306.</w:t>
      </w:r>
    </w:p>
    <w:p w:rsidR="00D94F28" w:rsidRPr="00A32E21" w:rsidRDefault="00D94F28" w:rsidP="004F1A88">
      <w:pPr>
        <w:ind w:left="720" w:hanging="720"/>
      </w:pPr>
    </w:p>
    <w:p w:rsidR="00033C27" w:rsidRPr="00A32E21" w:rsidRDefault="00D94F28" w:rsidP="004F1A88">
      <w:pPr>
        <w:ind w:left="720" w:hanging="720"/>
      </w:pPr>
      <w:r w:rsidRPr="00A32E21">
        <w:t xml:space="preserve">American Academy of Pediatrics, American Academy of Family Physicians, and American College of Physicians, Transitions Clinical Report Authoring Group. </w:t>
      </w:r>
      <w:r w:rsidRPr="00A32E21">
        <w:rPr>
          <w:i/>
        </w:rPr>
        <w:t xml:space="preserve">Clinical Report—Supporting the Heath Care Transition from Adolescence to Adulthood in the Medical Home. </w:t>
      </w:r>
      <w:r w:rsidR="00EF5D25" w:rsidRPr="00A32E21">
        <w:rPr>
          <w:u w:val="single"/>
        </w:rPr>
        <w:t>Pediatrics</w:t>
      </w:r>
      <w:r w:rsidR="00EF5D25" w:rsidRPr="00A32E21">
        <w:t>, 2011: 128: 182-202.</w:t>
      </w:r>
    </w:p>
    <w:p w:rsidR="00033C27" w:rsidRPr="00A32E21" w:rsidRDefault="00033C27" w:rsidP="004F1A88">
      <w:pPr>
        <w:ind w:left="720" w:hanging="720"/>
      </w:pPr>
    </w:p>
    <w:p w:rsidR="008F730F" w:rsidRPr="00A32E21" w:rsidRDefault="00150589" w:rsidP="004F1A88">
      <w:pPr>
        <w:ind w:left="720" w:hanging="720"/>
      </w:pPr>
      <w:r w:rsidRPr="00A32E21">
        <w:t xml:space="preserve">Kane DJ, </w:t>
      </w:r>
      <w:proofErr w:type="spellStart"/>
      <w:r w:rsidRPr="00A32E21">
        <w:t>Kasehagen</w:t>
      </w:r>
      <w:proofErr w:type="spellEnd"/>
      <w:r w:rsidRPr="00A32E21">
        <w:t xml:space="preserve"> L, </w:t>
      </w:r>
      <w:proofErr w:type="spellStart"/>
      <w:r w:rsidRPr="00A32E21">
        <w:t>Punyko</w:t>
      </w:r>
      <w:proofErr w:type="spellEnd"/>
      <w:r w:rsidRPr="00A32E21">
        <w:t xml:space="preserve"> J, Carle AC, </w:t>
      </w:r>
      <w:proofErr w:type="spellStart"/>
      <w:r w:rsidRPr="00A32E21">
        <w:t>Penziner</w:t>
      </w:r>
      <w:proofErr w:type="spellEnd"/>
      <w:r w:rsidRPr="00A32E21">
        <w:t xml:space="preserve"> A, Thorson S: </w:t>
      </w:r>
      <w:r w:rsidRPr="00A32E21">
        <w:rPr>
          <w:i/>
          <w:iCs/>
        </w:rPr>
        <w:t xml:space="preserve">What Factors are Associated with State Performance on Provision of Transition Services to CSHCN?; </w:t>
      </w:r>
      <w:r w:rsidRPr="00A32E21">
        <w:rPr>
          <w:u w:val="single"/>
        </w:rPr>
        <w:t>Pediatrics</w:t>
      </w:r>
      <w:r w:rsidR="004F1A88" w:rsidRPr="00A32E21">
        <w:t xml:space="preserve">, 2009: 124: S375-383. </w:t>
      </w:r>
      <w:r w:rsidRPr="00A32E21">
        <w:t xml:space="preserve"> </w:t>
      </w:r>
    </w:p>
    <w:p w:rsidR="00EE5076" w:rsidRPr="00A32E21" w:rsidRDefault="00EE5076" w:rsidP="004F1A88">
      <w:pPr>
        <w:ind w:left="720" w:hanging="720"/>
      </w:pPr>
    </w:p>
    <w:p w:rsidR="00EE5076" w:rsidRPr="00A32E21" w:rsidRDefault="00EE5076" w:rsidP="004F1A88">
      <w:pPr>
        <w:ind w:left="720" w:hanging="720"/>
      </w:pPr>
      <w:r w:rsidRPr="00A32E21">
        <w:t xml:space="preserve">McManus P, Rodgers K. </w:t>
      </w:r>
      <w:r w:rsidRPr="00A32E21">
        <w:rPr>
          <w:i/>
        </w:rPr>
        <w:t>Health Care Transition for Youth with Special Health Care Needs: An Analysis of State Performance</w:t>
      </w:r>
      <w:r w:rsidRPr="00A32E21">
        <w:t xml:space="preserve">. National Alliance to Advance Adolescent Health, for Got Transition?, January 2011. </w:t>
      </w:r>
    </w:p>
    <w:p w:rsidR="00033C27" w:rsidRPr="00A32E21" w:rsidRDefault="00033C27" w:rsidP="004F1A88">
      <w:pPr>
        <w:ind w:left="720" w:hanging="720"/>
      </w:pPr>
    </w:p>
    <w:p w:rsidR="00033C27" w:rsidRPr="00A32E21" w:rsidRDefault="00033C27" w:rsidP="004F1A88">
      <w:pPr>
        <w:ind w:left="720" w:hanging="720"/>
      </w:pPr>
      <w:proofErr w:type="spellStart"/>
      <w:r w:rsidRPr="00A32E21">
        <w:t>Nazarian</w:t>
      </w:r>
      <w:proofErr w:type="spellEnd"/>
      <w:r w:rsidRPr="00A32E21">
        <w:t xml:space="preserve"> BL, </w:t>
      </w:r>
      <w:proofErr w:type="spellStart"/>
      <w:r w:rsidRPr="00A32E21">
        <w:t>Glader</w:t>
      </w:r>
      <w:proofErr w:type="spellEnd"/>
      <w:r w:rsidRPr="00A32E21">
        <w:t xml:space="preserve"> L, </w:t>
      </w:r>
      <w:proofErr w:type="spellStart"/>
      <w:r w:rsidRPr="00A32E21">
        <w:t>Choueiri</w:t>
      </w:r>
      <w:proofErr w:type="spellEnd"/>
      <w:r w:rsidRPr="00A32E21">
        <w:t xml:space="preserve"> R, Shipman DL, and </w:t>
      </w:r>
      <w:proofErr w:type="spellStart"/>
      <w:r w:rsidRPr="00A32E21">
        <w:t>Sadof</w:t>
      </w:r>
      <w:proofErr w:type="spellEnd"/>
      <w:r w:rsidRPr="00A32E21">
        <w:t xml:space="preserve"> M</w:t>
      </w:r>
      <w:r w:rsidRPr="00A32E21">
        <w:rPr>
          <w:i/>
        </w:rPr>
        <w:t xml:space="preserve">. Identifying what pediatric residents are taught about children and youth with special health care needs and the medical home. </w:t>
      </w:r>
      <w:r w:rsidRPr="00A32E21">
        <w:t xml:space="preserve"> </w:t>
      </w:r>
      <w:r w:rsidRPr="00A32E21">
        <w:rPr>
          <w:u w:val="single"/>
        </w:rPr>
        <w:t>Pediatrics</w:t>
      </w:r>
      <w:r w:rsidRPr="00A32E21">
        <w:t xml:space="preserve">, 2010: 126: S183-S189. </w:t>
      </w:r>
    </w:p>
    <w:p w:rsidR="00682F94" w:rsidRPr="00A32E21" w:rsidRDefault="00682F94" w:rsidP="004F1A88">
      <w:pPr>
        <w:ind w:left="720" w:hanging="720"/>
      </w:pPr>
    </w:p>
    <w:p w:rsidR="00682F94" w:rsidRPr="00A32E21" w:rsidRDefault="00682F94" w:rsidP="004F1A88">
      <w:pPr>
        <w:ind w:left="720" w:hanging="720"/>
      </w:pPr>
      <w:r w:rsidRPr="00A32E21">
        <w:t xml:space="preserve">Patel MS, O’Hare K. </w:t>
      </w:r>
      <w:r w:rsidR="00CE2115" w:rsidRPr="00A32E21">
        <w:rPr>
          <w:i/>
        </w:rPr>
        <w:t>Residency</w:t>
      </w:r>
      <w:r w:rsidRPr="00A32E21">
        <w:rPr>
          <w:i/>
        </w:rPr>
        <w:t xml:space="preserve"> training in transition of youth with childhood-onset chronic disease.</w:t>
      </w:r>
      <w:r w:rsidRPr="00A32E21">
        <w:t xml:space="preserve"> </w:t>
      </w:r>
      <w:r w:rsidRPr="00A32E21">
        <w:rPr>
          <w:u w:val="single"/>
        </w:rPr>
        <w:t>Pediatrics</w:t>
      </w:r>
      <w:r w:rsidRPr="00A32E21">
        <w:t xml:space="preserve">, 2010: 126: S190-S193. </w:t>
      </w:r>
    </w:p>
    <w:p w:rsidR="000703A8" w:rsidRPr="00A32E21" w:rsidRDefault="000703A8" w:rsidP="004F1A88">
      <w:pPr>
        <w:ind w:left="720" w:hanging="720"/>
      </w:pPr>
    </w:p>
    <w:p w:rsidR="000703A8" w:rsidRPr="00A32E21" w:rsidRDefault="000703A8" w:rsidP="004F1A88">
      <w:pPr>
        <w:ind w:left="720" w:hanging="720"/>
      </w:pPr>
      <w:r w:rsidRPr="00A32E21">
        <w:t xml:space="preserve">Peter NG, </w:t>
      </w:r>
      <w:proofErr w:type="spellStart"/>
      <w:r w:rsidRPr="00A32E21">
        <w:t>Forke</w:t>
      </w:r>
      <w:proofErr w:type="spellEnd"/>
      <w:r w:rsidRPr="00A32E21">
        <w:t xml:space="preserve"> CM, Ginsburg KR, Schwarz DF. </w:t>
      </w:r>
      <w:r w:rsidRPr="00A32E21">
        <w:rPr>
          <w:i/>
        </w:rPr>
        <w:t xml:space="preserve">Transition from Pediatric to Adult Care: Internists’ Perspectives. </w:t>
      </w:r>
      <w:r w:rsidRPr="00A32E21">
        <w:rPr>
          <w:u w:val="single"/>
        </w:rPr>
        <w:t>Pediatrics</w:t>
      </w:r>
      <w:r w:rsidRPr="00A32E21">
        <w:t>, 2009: 123: 417-423.</w:t>
      </w:r>
    </w:p>
    <w:p w:rsidR="004F1A88" w:rsidRPr="00A32E21" w:rsidRDefault="004F1A88" w:rsidP="004F1A88">
      <w:pPr>
        <w:ind w:left="720" w:hanging="720"/>
      </w:pPr>
    </w:p>
    <w:p w:rsidR="004F1A88" w:rsidRPr="00A32E21" w:rsidRDefault="004F1A88" w:rsidP="004F1A88">
      <w:pPr>
        <w:ind w:left="720" w:hanging="720"/>
      </w:pPr>
      <w:r w:rsidRPr="00A32E21">
        <w:t xml:space="preserve">Reiss JG, Gibson RW, Walker LR: </w:t>
      </w:r>
      <w:r w:rsidRPr="00A32E21">
        <w:rPr>
          <w:i/>
          <w:iCs/>
        </w:rPr>
        <w:t>Health Care Transition: Youth, Family, and Provider Perspectives</w:t>
      </w:r>
      <w:r w:rsidRPr="00A32E21">
        <w:t xml:space="preserve">. </w:t>
      </w:r>
      <w:r w:rsidRPr="00A32E21">
        <w:rPr>
          <w:u w:val="single"/>
        </w:rPr>
        <w:t>Pediatrics</w:t>
      </w:r>
      <w:r w:rsidRPr="00A32E21">
        <w:t>, 2005: 115: 112-120.</w:t>
      </w:r>
    </w:p>
    <w:p w:rsidR="00A32E21" w:rsidRPr="00A32E21" w:rsidRDefault="00A32E21" w:rsidP="004F1A88">
      <w:pPr>
        <w:ind w:left="720" w:hanging="720"/>
      </w:pPr>
    </w:p>
    <w:p w:rsidR="00A32E21" w:rsidRPr="00A32E21" w:rsidRDefault="00A32E21" w:rsidP="004F1A88">
      <w:pPr>
        <w:ind w:left="720" w:hanging="720"/>
      </w:pPr>
      <w:proofErr w:type="spellStart"/>
      <w:r w:rsidRPr="00A32E21">
        <w:t>Sawicki</w:t>
      </w:r>
      <w:proofErr w:type="spellEnd"/>
      <w:r w:rsidRPr="00A32E21">
        <w:t xml:space="preserve"> GS, Whitworth R, Gunn L, Butterfield R, Lukens-Bull K, and Wood D. </w:t>
      </w:r>
      <w:r w:rsidRPr="00A32E21">
        <w:rPr>
          <w:i/>
        </w:rPr>
        <w:t>Receipt of Health Care Transition Counseling in the National Survey of Adult Transition and Health</w:t>
      </w:r>
      <w:r w:rsidRPr="00A32E21">
        <w:t xml:space="preserve">. </w:t>
      </w:r>
      <w:r w:rsidRPr="00A32E21">
        <w:rPr>
          <w:u w:val="single"/>
        </w:rPr>
        <w:t>Pediatrics</w:t>
      </w:r>
      <w:r w:rsidRPr="00A32E21">
        <w:t>, 2011: 128: 1-9.</w:t>
      </w:r>
    </w:p>
    <w:p w:rsidR="004F1A88" w:rsidRPr="00A32E21" w:rsidRDefault="004F1A88" w:rsidP="004F1A88">
      <w:pPr>
        <w:ind w:left="720" w:hanging="720"/>
      </w:pPr>
    </w:p>
    <w:p w:rsidR="004F1A88" w:rsidRPr="00A32E21" w:rsidRDefault="004F1A88" w:rsidP="004F1A88">
      <w:pPr>
        <w:ind w:left="720" w:hanging="720"/>
      </w:pPr>
      <w:proofErr w:type="spellStart"/>
      <w:proofErr w:type="gramStart"/>
      <w:r w:rsidRPr="00A32E21">
        <w:t>Scal</w:t>
      </w:r>
      <w:proofErr w:type="spellEnd"/>
      <w:r w:rsidRPr="00A32E21">
        <w:t xml:space="preserve"> P, Ireland M. </w:t>
      </w:r>
      <w:r w:rsidRPr="00A32E21">
        <w:rPr>
          <w:i/>
          <w:iCs/>
        </w:rPr>
        <w:t>Addressing Transition to Adult Health Care for Adolescents with Special Health Care Needs.</w:t>
      </w:r>
      <w:proofErr w:type="gramEnd"/>
      <w:r w:rsidRPr="00A32E21">
        <w:rPr>
          <w:i/>
          <w:iCs/>
        </w:rPr>
        <w:t xml:space="preserve"> </w:t>
      </w:r>
      <w:r w:rsidRPr="00A32E21">
        <w:rPr>
          <w:u w:val="single"/>
        </w:rPr>
        <w:t>Pediatrics</w:t>
      </w:r>
      <w:r w:rsidRPr="00A32E21">
        <w:t>, 2005: 115: 1607-1612.</w:t>
      </w:r>
    </w:p>
    <w:p w:rsidR="00FF0DEF" w:rsidRPr="00A32E21" w:rsidRDefault="00FF0DEF" w:rsidP="00033C27"/>
    <w:p w:rsidR="00A12177" w:rsidRPr="00A32E21" w:rsidRDefault="00A12177" w:rsidP="00033C27"/>
    <w:p w:rsidR="00D43A72" w:rsidRDefault="00D43A72" w:rsidP="00033C27">
      <w:r>
        <w:t xml:space="preserve">Data Resource Center for Child and Adolescent Health: </w:t>
      </w:r>
      <w:hyperlink r:id="rId5" w:history="1">
        <w:r w:rsidRPr="002F73D9">
          <w:rPr>
            <w:rStyle w:val="Hyperlink"/>
          </w:rPr>
          <w:t>www.childhealthdata.org</w:t>
        </w:r>
      </w:hyperlink>
      <w:r>
        <w:t xml:space="preserve"> </w:t>
      </w:r>
    </w:p>
    <w:p w:rsidR="00FF0DEF" w:rsidRPr="00A32E21" w:rsidRDefault="00FF0DEF" w:rsidP="00033C27">
      <w:r w:rsidRPr="00A32E21">
        <w:t xml:space="preserve">Healthy and Ready to Work: </w:t>
      </w:r>
      <w:hyperlink r:id="rId6" w:history="1">
        <w:r w:rsidRPr="00A32E21">
          <w:rPr>
            <w:rStyle w:val="Hyperlink"/>
          </w:rPr>
          <w:t>www.hrtw.org</w:t>
        </w:r>
      </w:hyperlink>
    </w:p>
    <w:p w:rsidR="00FF0DEF" w:rsidRDefault="00FF0DEF" w:rsidP="00033C27">
      <w:r w:rsidRPr="00A32E21">
        <w:t xml:space="preserve">Got Transition? </w:t>
      </w:r>
      <w:hyperlink r:id="rId7" w:history="1">
        <w:r w:rsidRPr="00A32E21">
          <w:rPr>
            <w:rStyle w:val="Hyperlink"/>
          </w:rPr>
          <w:t>www.gottransition.org</w:t>
        </w:r>
      </w:hyperlink>
      <w:r w:rsidRPr="00A32E21">
        <w:t xml:space="preserve"> </w:t>
      </w:r>
    </w:p>
    <w:p w:rsidR="0020582D" w:rsidRPr="00A32E21" w:rsidRDefault="0020582D" w:rsidP="00033C27">
      <w:r>
        <w:t xml:space="preserve">Institute for Child Health Policy: </w:t>
      </w:r>
      <w:hyperlink r:id="rId8" w:history="1">
        <w:r w:rsidRPr="0020582D">
          <w:rPr>
            <w:rStyle w:val="Hyperlink"/>
          </w:rPr>
          <w:t>http://hctransitio</w:t>
        </w:r>
        <w:r w:rsidRPr="0020582D">
          <w:rPr>
            <w:rStyle w:val="Hyperlink"/>
          </w:rPr>
          <w:t>n</w:t>
        </w:r>
        <w:r w:rsidRPr="0020582D">
          <w:rPr>
            <w:rStyle w:val="Hyperlink"/>
          </w:rPr>
          <w:t>s.ichp.ufl.edu/</w:t>
        </w:r>
      </w:hyperlink>
    </w:p>
    <w:p w:rsidR="007B3530" w:rsidRPr="0020582D" w:rsidRDefault="0020582D" w:rsidP="0020582D">
      <w:r>
        <w:t xml:space="preserve">Baylor LEAH Transition Conference: </w:t>
      </w:r>
      <w:hyperlink r:id="rId9" w:history="1">
        <w:r w:rsidR="000B7569" w:rsidRPr="0020582D">
          <w:rPr>
            <w:rStyle w:val="Hyperlink"/>
          </w:rPr>
          <w:t>http://www.baylorcme.org/pdfs/12th_Annual_Chronic_Illness_and_Disability_Brochure.pdf</w:t>
        </w:r>
      </w:hyperlink>
      <w:r w:rsidR="000B7569" w:rsidRPr="0020582D">
        <w:t xml:space="preserve"> </w:t>
      </w:r>
    </w:p>
    <w:p w:rsidR="00033C27" w:rsidRPr="00A12177" w:rsidRDefault="00FF0DEF">
      <w:pPr>
        <w:rPr>
          <w:sz w:val="28"/>
        </w:rPr>
      </w:pPr>
      <w:r w:rsidRPr="00A32E21">
        <w:t xml:space="preserve">UAB PPC Trainee Transition Needs Assessment: </w:t>
      </w:r>
      <w:hyperlink r:id="rId10" w:history="1">
        <w:r w:rsidRPr="00A32E21">
          <w:rPr>
            <w:rStyle w:val="Hyperlink"/>
          </w:rPr>
          <w:t>http://main.uab.edu/ppc/show.asp?durki=89927</w:t>
        </w:r>
      </w:hyperlink>
    </w:p>
    <w:sectPr w:rsidR="00033C27" w:rsidRPr="00A12177" w:rsidSect="00205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18"/>
    <w:multiLevelType w:val="hybridMultilevel"/>
    <w:tmpl w:val="97F2A5BC"/>
    <w:lvl w:ilvl="0" w:tplc="8B0488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4C5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9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62D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E36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AB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25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CF2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039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B72A2"/>
    <w:multiLevelType w:val="hybridMultilevel"/>
    <w:tmpl w:val="0C8EDF1C"/>
    <w:lvl w:ilvl="0" w:tplc="F89C0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C3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2B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3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ADE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CB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6D2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C0D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4E6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C4CDC"/>
    <w:multiLevelType w:val="hybridMultilevel"/>
    <w:tmpl w:val="AC0CCF40"/>
    <w:lvl w:ilvl="0" w:tplc="6B621F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45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E93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E8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EC3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4C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8B2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68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65F1F"/>
    <w:multiLevelType w:val="hybridMultilevel"/>
    <w:tmpl w:val="D590A14C"/>
    <w:lvl w:ilvl="0" w:tplc="8086FF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E99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85D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CE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8B4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E44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44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CD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3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16127"/>
    <w:multiLevelType w:val="hybridMultilevel"/>
    <w:tmpl w:val="B34E6148"/>
    <w:lvl w:ilvl="0" w:tplc="80583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6126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CA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31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4F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E0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E2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61E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C9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33C27"/>
    <w:rsid w:val="00003F93"/>
    <w:rsid w:val="000118B2"/>
    <w:rsid w:val="00022850"/>
    <w:rsid w:val="000265DD"/>
    <w:rsid w:val="00033C27"/>
    <w:rsid w:val="0003566B"/>
    <w:rsid w:val="00037A90"/>
    <w:rsid w:val="000437CC"/>
    <w:rsid w:val="00053A1A"/>
    <w:rsid w:val="00056ADA"/>
    <w:rsid w:val="0005708F"/>
    <w:rsid w:val="00057300"/>
    <w:rsid w:val="00057B21"/>
    <w:rsid w:val="0006399B"/>
    <w:rsid w:val="000703A8"/>
    <w:rsid w:val="00070589"/>
    <w:rsid w:val="000743C6"/>
    <w:rsid w:val="000760E5"/>
    <w:rsid w:val="000802D1"/>
    <w:rsid w:val="00082E86"/>
    <w:rsid w:val="00084C43"/>
    <w:rsid w:val="00086739"/>
    <w:rsid w:val="00093BA1"/>
    <w:rsid w:val="000A1002"/>
    <w:rsid w:val="000A1895"/>
    <w:rsid w:val="000B7569"/>
    <w:rsid w:val="000C73D4"/>
    <w:rsid w:val="000D1084"/>
    <w:rsid w:val="000D70D2"/>
    <w:rsid w:val="000E51B3"/>
    <w:rsid w:val="000E6689"/>
    <w:rsid w:val="000F456F"/>
    <w:rsid w:val="000F485B"/>
    <w:rsid w:val="000F4C58"/>
    <w:rsid w:val="00100FFA"/>
    <w:rsid w:val="00105CB5"/>
    <w:rsid w:val="001160C1"/>
    <w:rsid w:val="00124FE6"/>
    <w:rsid w:val="001267AA"/>
    <w:rsid w:val="00131C27"/>
    <w:rsid w:val="00132250"/>
    <w:rsid w:val="00150589"/>
    <w:rsid w:val="00157D65"/>
    <w:rsid w:val="001617AB"/>
    <w:rsid w:val="001652C3"/>
    <w:rsid w:val="001672A4"/>
    <w:rsid w:val="00182EC2"/>
    <w:rsid w:val="001870E1"/>
    <w:rsid w:val="00187625"/>
    <w:rsid w:val="001A545A"/>
    <w:rsid w:val="001C71A6"/>
    <w:rsid w:val="001D5F80"/>
    <w:rsid w:val="001F3F8C"/>
    <w:rsid w:val="001F56FA"/>
    <w:rsid w:val="0020582D"/>
    <w:rsid w:val="00212E57"/>
    <w:rsid w:val="00216FA4"/>
    <w:rsid w:val="002301AB"/>
    <w:rsid w:val="0023362E"/>
    <w:rsid w:val="002515C2"/>
    <w:rsid w:val="00255818"/>
    <w:rsid w:val="00266494"/>
    <w:rsid w:val="00274AD4"/>
    <w:rsid w:val="00291BEF"/>
    <w:rsid w:val="002A79DE"/>
    <w:rsid w:val="002B48A7"/>
    <w:rsid w:val="002C0CD4"/>
    <w:rsid w:val="002C5BD2"/>
    <w:rsid w:val="002D620B"/>
    <w:rsid w:val="00300970"/>
    <w:rsid w:val="00314800"/>
    <w:rsid w:val="00314842"/>
    <w:rsid w:val="003176AA"/>
    <w:rsid w:val="00332B0B"/>
    <w:rsid w:val="00333857"/>
    <w:rsid w:val="0033543C"/>
    <w:rsid w:val="00352B8B"/>
    <w:rsid w:val="003542D7"/>
    <w:rsid w:val="003548FB"/>
    <w:rsid w:val="00355802"/>
    <w:rsid w:val="003629CB"/>
    <w:rsid w:val="00364562"/>
    <w:rsid w:val="00367210"/>
    <w:rsid w:val="003700C2"/>
    <w:rsid w:val="00370711"/>
    <w:rsid w:val="00371D82"/>
    <w:rsid w:val="00373B47"/>
    <w:rsid w:val="00374389"/>
    <w:rsid w:val="00374AE8"/>
    <w:rsid w:val="00385673"/>
    <w:rsid w:val="003B28C5"/>
    <w:rsid w:val="003C3D2C"/>
    <w:rsid w:val="003D4D2F"/>
    <w:rsid w:val="00403D91"/>
    <w:rsid w:val="00406BAF"/>
    <w:rsid w:val="0041043F"/>
    <w:rsid w:val="0041390A"/>
    <w:rsid w:val="00413B81"/>
    <w:rsid w:val="004155B6"/>
    <w:rsid w:val="00415842"/>
    <w:rsid w:val="0042338C"/>
    <w:rsid w:val="00426ACF"/>
    <w:rsid w:val="00427CD2"/>
    <w:rsid w:val="004400CC"/>
    <w:rsid w:val="00454A35"/>
    <w:rsid w:val="00457F5E"/>
    <w:rsid w:val="00472DE0"/>
    <w:rsid w:val="004832D0"/>
    <w:rsid w:val="004868C4"/>
    <w:rsid w:val="00486E7D"/>
    <w:rsid w:val="004A0936"/>
    <w:rsid w:val="004A2820"/>
    <w:rsid w:val="004A5262"/>
    <w:rsid w:val="004C517D"/>
    <w:rsid w:val="004C6B52"/>
    <w:rsid w:val="004D229D"/>
    <w:rsid w:val="004F1A88"/>
    <w:rsid w:val="004F56D6"/>
    <w:rsid w:val="005050CE"/>
    <w:rsid w:val="0051334A"/>
    <w:rsid w:val="00517B33"/>
    <w:rsid w:val="0052002E"/>
    <w:rsid w:val="00531935"/>
    <w:rsid w:val="00535C03"/>
    <w:rsid w:val="00540D6C"/>
    <w:rsid w:val="00543FE4"/>
    <w:rsid w:val="005550C9"/>
    <w:rsid w:val="00555A57"/>
    <w:rsid w:val="0056508C"/>
    <w:rsid w:val="00570A6B"/>
    <w:rsid w:val="00571C69"/>
    <w:rsid w:val="00573C72"/>
    <w:rsid w:val="0057434F"/>
    <w:rsid w:val="00577BA0"/>
    <w:rsid w:val="00582BA1"/>
    <w:rsid w:val="00582C89"/>
    <w:rsid w:val="005A75DD"/>
    <w:rsid w:val="005A7FA8"/>
    <w:rsid w:val="005B3CC2"/>
    <w:rsid w:val="005F602A"/>
    <w:rsid w:val="006013EB"/>
    <w:rsid w:val="00607B1D"/>
    <w:rsid w:val="0061236F"/>
    <w:rsid w:val="00613039"/>
    <w:rsid w:val="0061448B"/>
    <w:rsid w:val="0062154F"/>
    <w:rsid w:val="006257B8"/>
    <w:rsid w:val="00627BFA"/>
    <w:rsid w:val="00627F57"/>
    <w:rsid w:val="0063272E"/>
    <w:rsid w:val="006330FB"/>
    <w:rsid w:val="0063577B"/>
    <w:rsid w:val="006451B6"/>
    <w:rsid w:val="006462EB"/>
    <w:rsid w:val="006640EE"/>
    <w:rsid w:val="00673E63"/>
    <w:rsid w:val="00677C53"/>
    <w:rsid w:val="00681FAB"/>
    <w:rsid w:val="00682F94"/>
    <w:rsid w:val="00683099"/>
    <w:rsid w:val="006903C6"/>
    <w:rsid w:val="006952C2"/>
    <w:rsid w:val="006A2B8E"/>
    <w:rsid w:val="006B5B70"/>
    <w:rsid w:val="006C1468"/>
    <w:rsid w:val="006D2CB5"/>
    <w:rsid w:val="006D62BE"/>
    <w:rsid w:val="0070101D"/>
    <w:rsid w:val="00712468"/>
    <w:rsid w:val="007306D8"/>
    <w:rsid w:val="007347EA"/>
    <w:rsid w:val="00753BBA"/>
    <w:rsid w:val="00760F6C"/>
    <w:rsid w:val="00777053"/>
    <w:rsid w:val="00780597"/>
    <w:rsid w:val="00781EAF"/>
    <w:rsid w:val="00784274"/>
    <w:rsid w:val="007929D2"/>
    <w:rsid w:val="007A2B44"/>
    <w:rsid w:val="007A4D76"/>
    <w:rsid w:val="007A79E5"/>
    <w:rsid w:val="007B3530"/>
    <w:rsid w:val="007B582D"/>
    <w:rsid w:val="007C1058"/>
    <w:rsid w:val="007D2E39"/>
    <w:rsid w:val="007D435D"/>
    <w:rsid w:val="007D5931"/>
    <w:rsid w:val="007D6E80"/>
    <w:rsid w:val="007F6F5F"/>
    <w:rsid w:val="00805289"/>
    <w:rsid w:val="00811547"/>
    <w:rsid w:val="008163C2"/>
    <w:rsid w:val="0083357C"/>
    <w:rsid w:val="008476DF"/>
    <w:rsid w:val="0085134E"/>
    <w:rsid w:val="00852616"/>
    <w:rsid w:val="00861477"/>
    <w:rsid w:val="00864100"/>
    <w:rsid w:val="008910C1"/>
    <w:rsid w:val="008926FF"/>
    <w:rsid w:val="008960D7"/>
    <w:rsid w:val="00897EA8"/>
    <w:rsid w:val="008A6906"/>
    <w:rsid w:val="008B7321"/>
    <w:rsid w:val="008C0A5A"/>
    <w:rsid w:val="008C4B4A"/>
    <w:rsid w:val="008C53BD"/>
    <w:rsid w:val="008D1ECF"/>
    <w:rsid w:val="008D5760"/>
    <w:rsid w:val="008E05A3"/>
    <w:rsid w:val="008F3FC1"/>
    <w:rsid w:val="008F5C3B"/>
    <w:rsid w:val="008F646A"/>
    <w:rsid w:val="008F730F"/>
    <w:rsid w:val="0090128E"/>
    <w:rsid w:val="00904104"/>
    <w:rsid w:val="00912C6B"/>
    <w:rsid w:val="009136F3"/>
    <w:rsid w:val="00917977"/>
    <w:rsid w:val="0092305B"/>
    <w:rsid w:val="009236AD"/>
    <w:rsid w:val="009274DF"/>
    <w:rsid w:val="00943245"/>
    <w:rsid w:val="00956E4D"/>
    <w:rsid w:val="00960B6F"/>
    <w:rsid w:val="00962098"/>
    <w:rsid w:val="009639E9"/>
    <w:rsid w:val="00970E9C"/>
    <w:rsid w:val="00975DB7"/>
    <w:rsid w:val="00992725"/>
    <w:rsid w:val="00995D5F"/>
    <w:rsid w:val="009A54E9"/>
    <w:rsid w:val="009B2C24"/>
    <w:rsid w:val="009F30DE"/>
    <w:rsid w:val="00A04BDA"/>
    <w:rsid w:val="00A0652A"/>
    <w:rsid w:val="00A12177"/>
    <w:rsid w:val="00A21386"/>
    <w:rsid w:val="00A22B6F"/>
    <w:rsid w:val="00A32E21"/>
    <w:rsid w:val="00A435FE"/>
    <w:rsid w:val="00A47A61"/>
    <w:rsid w:val="00A510CC"/>
    <w:rsid w:val="00A52C06"/>
    <w:rsid w:val="00A63936"/>
    <w:rsid w:val="00A70031"/>
    <w:rsid w:val="00A71B48"/>
    <w:rsid w:val="00A81AB0"/>
    <w:rsid w:val="00A94DFF"/>
    <w:rsid w:val="00AA7AD8"/>
    <w:rsid w:val="00AB672D"/>
    <w:rsid w:val="00AD0CD0"/>
    <w:rsid w:val="00AE0638"/>
    <w:rsid w:val="00AF082B"/>
    <w:rsid w:val="00B14443"/>
    <w:rsid w:val="00B2497A"/>
    <w:rsid w:val="00B25FDB"/>
    <w:rsid w:val="00B27087"/>
    <w:rsid w:val="00B278F5"/>
    <w:rsid w:val="00B339B6"/>
    <w:rsid w:val="00B43F6E"/>
    <w:rsid w:val="00B71A7A"/>
    <w:rsid w:val="00B774FE"/>
    <w:rsid w:val="00B8154A"/>
    <w:rsid w:val="00B856CE"/>
    <w:rsid w:val="00B92D66"/>
    <w:rsid w:val="00B93A75"/>
    <w:rsid w:val="00BB7DB4"/>
    <w:rsid w:val="00BC074A"/>
    <w:rsid w:val="00BC6375"/>
    <w:rsid w:val="00BF7A00"/>
    <w:rsid w:val="00C03596"/>
    <w:rsid w:val="00C054FA"/>
    <w:rsid w:val="00C103A1"/>
    <w:rsid w:val="00C179E5"/>
    <w:rsid w:val="00C21007"/>
    <w:rsid w:val="00C21367"/>
    <w:rsid w:val="00C3153E"/>
    <w:rsid w:val="00C3650D"/>
    <w:rsid w:val="00C438F4"/>
    <w:rsid w:val="00C44ED5"/>
    <w:rsid w:val="00C47770"/>
    <w:rsid w:val="00C66699"/>
    <w:rsid w:val="00C6670C"/>
    <w:rsid w:val="00C667BA"/>
    <w:rsid w:val="00C87099"/>
    <w:rsid w:val="00C91397"/>
    <w:rsid w:val="00C9220C"/>
    <w:rsid w:val="00C92439"/>
    <w:rsid w:val="00C9791C"/>
    <w:rsid w:val="00CA7680"/>
    <w:rsid w:val="00CB26A0"/>
    <w:rsid w:val="00CC0532"/>
    <w:rsid w:val="00CD45CF"/>
    <w:rsid w:val="00CD5361"/>
    <w:rsid w:val="00CE1971"/>
    <w:rsid w:val="00CE2115"/>
    <w:rsid w:val="00CE34F8"/>
    <w:rsid w:val="00CE5844"/>
    <w:rsid w:val="00CE7A3A"/>
    <w:rsid w:val="00D23812"/>
    <w:rsid w:val="00D34DE3"/>
    <w:rsid w:val="00D353F2"/>
    <w:rsid w:val="00D43A72"/>
    <w:rsid w:val="00D4540E"/>
    <w:rsid w:val="00D600B9"/>
    <w:rsid w:val="00D71178"/>
    <w:rsid w:val="00D84308"/>
    <w:rsid w:val="00D84E34"/>
    <w:rsid w:val="00D90053"/>
    <w:rsid w:val="00D94F28"/>
    <w:rsid w:val="00D97596"/>
    <w:rsid w:val="00DA4949"/>
    <w:rsid w:val="00DA5E2B"/>
    <w:rsid w:val="00DA6CB4"/>
    <w:rsid w:val="00DB43AD"/>
    <w:rsid w:val="00DC33EC"/>
    <w:rsid w:val="00DC4EF4"/>
    <w:rsid w:val="00DE0C07"/>
    <w:rsid w:val="00DE516C"/>
    <w:rsid w:val="00DF5B13"/>
    <w:rsid w:val="00DF732F"/>
    <w:rsid w:val="00E07D7D"/>
    <w:rsid w:val="00E14362"/>
    <w:rsid w:val="00E144E6"/>
    <w:rsid w:val="00E43338"/>
    <w:rsid w:val="00E46F27"/>
    <w:rsid w:val="00E5650E"/>
    <w:rsid w:val="00E658EB"/>
    <w:rsid w:val="00E66DB5"/>
    <w:rsid w:val="00E80B49"/>
    <w:rsid w:val="00E83B0E"/>
    <w:rsid w:val="00E87C51"/>
    <w:rsid w:val="00E93783"/>
    <w:rsid w:val="00EA1B71"/>
    <w:rsid w:val="00EB1F85"/>
    <w:rsid w:val="00EB442D"/>
    <w:rsid w:val="00EB5202"/>
    <w:rsid w:val="00ED79B9"/>
    <w:rsid w:val="00EE056F"/>
    <w:rsid w:val="00EE5076"/>
    <w:rsid w:val="00EE708E"/>
    <w:rsid w:val="00EF01F9"/>
    <w:rsid w:val="00EF5D25"/>
    <w:rsid w:val="00F0464B"/>
    <w:rsid w:val="00F07427"/>
    <w:rsid w:val="00F07EBE"/>
    <w:rsid w:val="00F119F1"/>
    <w:rsid w:val="00F17384"/>
    <w:rsid w:val="00F26FD7"/>
    <w:rsid w:val="00F37124"/>
    <w:rsid w:val="00F40D59"/>
    <w:rsid w:val="00F434C4"/>
    <w:rsid w:val="00F5219F"/>
    <w:rsid w:val="00F52BA7"/>
    <w:rsid w:val="00F73E5A"/>
    <w:rsid w:val="00F83790"/>
    <w:rsid w:val="00F92632"/>
    <w:rsid w:val="00FA0A09"/>
    <w:rsid w:val="00FA35A8"/>
    <w:rsid w:val="00FA3855"/>
    <w:rsid w:val="00FD5E50"/>
    <w:rsid w:val="00FF0DEF"/>
    <w:rsid w:val="00FF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82D"/>
    <w:pPr>
      <w:ind w:left="720"/>
      <w:contextualSpacing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58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2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transitions.ichp.ufl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ttransi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tw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ildhealthdata.org" TargetMode="External"/><Relationship Id="rId10" Type="http://schemas.openxmlformats.org/officeDocument/2006/relationships/hyperlink" Target="http://main.uab.edu/ppc/show.asp?durki=8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lorcme.org/pdfs/12th_Annual_Chronic_Illness_and_Disability_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2011-09-26T16:08:00Z</dcterms:created>
  <dcterms:modified xsi:type="dcterms:W3CDTF">2012-02-19T21:09:00Z</dcterms:modified>
</cp:coreProperties>
</file>